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Cs/>
          <w:color w:val="000000"/>
          <w:sz w:val="32"/>
          <w:szCs w:val="32"/>
        </w:rPr>
      </w:pPr>
      <w:r>
        <w:rPr>
          <w:rFonts w:hint="eastAsia" w:ascii="方正小标宋简体" w:eastAsia="方正小标宋简体"/>
          <w:bCs/>
          <w:color w:val="000000"/>
          <w:sz w:val="36"/>
          <w:szCs w:val="36"/>
        </w:rPr>
        <w:t>浙江省科学技术奖</w:t>
      </w:r>
      <w:r>
        <w:rPr>
          <w:rFonts w:ascii="方正小标宋简体" w:eastAsia="方正小标宋简体"/>
          <w:bCs/>
          <w:color w:val="000000"/>
          <w:sz w:val="36"/>
          <w:szCs w:val="36"/>
        </w:rPr>
        <w:t>公示信息表</w:t>
      </w:r>
      <w:r>
        <w:rPr>
          <w:rFonts w:hint="eastAsia" w:ascii="仿宋_GB2312" w:eastAsia="仿宋_GB2312"/>
          <w:bCs/>
          <w:color w:val="000000"/>
          <w:sz w:val="32"/>
          <w:szCs w:val="32"/>
        </w:rPr>
        <w:t>（单位提名）</w:t>
      </w:r>
    </w:p>
    <w:p>
      <w:pPr>
        <w:jc w:val="center"/>
        <w:rPr>
          <w:rFonts w:ascii="仿宋_GB2312" w:eastAsia="仿宋_GB2312"/>
          <w:bCs/>
          <w:color w:val="000000"/>
          <w:sz w:val="32"/>
          <w:szCs w:val="32"/>
        </w:rPr>
      </w:pPr>
    </w:p>
    <w:p>
      <w:pPr>
        <w:spacing w:line="440" w:lineRule="exact"/>
        <w:rPr>
          <w:rFonts w:ascii="仿宋_GB2312" w:hAnsi="仿宋" w:eastAsia="仿宋_GB2312" w:cs="仿宋"/>
          <w:color w:val="000000"/>
          <w:sz w:val="28"/>
          <w:szCs w:val="24"/>
        </w:rPr>
      </w:pPr>
      <w:r>
        <w:rPr>
          <w:rFonts w:hint="eastAsia" w:ascii="仿宋_GB2312" w:hAnsi="仿宋" w:eastAsia="仿宋_GB2312" w:cs="仿宋"/>
          <w:color w:val="000000"/>
          <w:sz w:val="28"/>
          <w:szCs w:val="24"/>
        </w:rPr>
        <w:t>提名奖项：科学技术进步奖</w:t>
      </w:r>
    </w:p>
    <w:tbl>
      <w:tblPr>
        <w:tblStyle w:val="3"/>
        <w:tblW w:w="887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3"/>
        <w:gridCol w:w="7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1493" w:type="dxa"/>
            <w:vAlign w:val="center"/>
          </w:tcPr>
          <w:p>
            <w:pPr>
              <w:jc w:val="center"/>
              <w:rPr>
                <w:rFonts w:ascii="仿宋_GB2312" w:hAnsi="仿宋" w:eastAsia="仿宋_GB2312" w:cs="仿宋"/>
                <w:bCs/>
                <w:color w:val="000000"/>
                <w:sz w:val="28"/>
                <w:szCs w:val="24"/>
              </w:rPr>
            </w:pPr>
            <w:r>
              <w:rPr>
                <w:rFonts w:hint="eastAsia" w:ascii="仿宋_GB2312" w:hAnsi="仿宋" w:eastAsia="仿宋_GB2312" w:cs="仿宋"/>
                <w:color w:val="000000"/>
                <w:sz w:val="28"/>
                <w:szCs w:val="24"/>
              </w:rPr>
              <w:t>成果名称</w:t>
            </w:r>
          </w:p>
        </w:tc>
        <w:tc>
          <w:tcPr>
            <w:tcW w:w="7377" w:type="dxa"/>
            <w:vAlign w:val="center"/>
          </w:tcPr>
          <w:p>
            <w:pPr>
              <w:spacing w:before="156" w:beforeLines="50" w:after="156" w:afterLines="50" w:line="360" w:lineRule="auto"/>
              <w:jc w:val="center"/>
              <w:rPr>
                <w:rFonts w:ascii="宋体" w:hAnsi="宋体" w:cs="宋体"/>
                <w:bCs/>
                <w:color w:val="000000"/>
                <w:sz w:val="24"/>
                <w:szCs w:val="24"/>
              </w:rPr>
            </w:pPr>
            <w:r>
              <w:rPr>
                <w:rFonts w:hint="eastAsia" w:ascii="宋体" w:hAnsi="宋体" w:cs="宋体"/>
                <w:bCs/>
                <w:color w:val="000000"/>
                <w:sz w:val="24"/>
                <w:szCs w:val="24"/>
              </w:rPr>
              <w:t>酶制备与生物转化偶联技术及其在医药产品生产中的应用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93" w:type="dxa"/>
            <w:vAlign w:val="center"/>
          </w:tcPr>
          <w:p>
            <w:pPr>
              <w:jc w:val="center"/>
              <w:rPr>
                <w:rFonts w:ascii="仿宋_GB2312" w:hAnsi="仿宋" w:eastAsia="仿宋_GB2312" w:cs="仿宋"/>
                <w:bCs/>
                <w:color w:val="000000"/>
                <w:sz w:val="28"/>
                <w:szCs w:val="24"/>
              </w:rPr>
            </w:pPr>
            <w:r>
              <w:rPr>
                <w:rFonts w:hint="eastAsia" w:ascii="仿宋_GB2312" w:hAnsi="仿宋" w:eastAsia="仿宋_GB2312" w:cs="仿宋"/>
                <w:color w:val="000000"/>
                <w:sz w:val="28"/>
                <w:szCs w:val="24"/>
              </w:rPr>
              <w:t>提名等级</w:t>
            </w:r>
          </w:p>
        </w:tc>
        <w:tc>
          <w:tcPr>
            <w:tcW w:w="7377" w:type="dxa"/>
            <w:vAlign w:val="center"/>
          </w:tcPr>
          <w:p>
            <w:pPr>
              <w:spacing w:line="360" w:lineRule="auto"/>
              <w:jc w:val="center"/>
              <w:rPr>
                <w:rFonts w:ascii="宋体" w:hAnsi="宋体" w:cs="宋体"/>
                <w:bCs/>
                <w:color w:val="000000"/>
                <w:sz w:val="24"/>
                <w:szCs w:val="24"/>
              </w:rPr>
            </w:pPr>
            <w:r>
              <w:rPr>
                <w:rFonts w:hint="eastAsia" w:ascii="宋体" w:hAnsi="宋体" w:cs="宋体"/>
                <w:bCs/>
                <w:color w:val="000000"/>
                <w:sz w:val="24"/>
                <w:szCs w:val="24"/>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1" w:hRule="atLeast"/>
        </w:trPr>
        <w:tc>
          <w:tcPr>
            <w:tcW w:w="1493" w:type="dxa"/>
            <w:vAlign w:val="center"/>
          </w:tcPr>
          <w:p>
            <w:pPr>
              <w:spacing w:line="440" w:lineRule="exact"/>
              <w:jc w:val="center"/>
              <w:rPr>
                <w:rFonts w:ascii="仿宋_GB2312" w:hAnsi="仿宋" w:eastAsia="仿宋_GB2312" w:cs="仿宋"/>
                <w:bCs/>
                <w:color w:val="000000"/>
                <w:sz w:val="28"/>
                <w:szCs w:val="24"/>
              </w:rPr>
            </w:pPr>
            <w:r>
              <w:rPr>
                <w:rFonts w:hint="eastAsia" w:ascii="仿宋_GB2312" w:hAnsi="仿宋" w:eastAsia="仿宋_GB2312" w:cs="仿宋"/>
                <w:bCs/>
                <w:color w:val="000000"/>
                <w:sz w:val="28"/>
                <w:szCs w:val="24"/>
              </w:rPr>
              <w:t>提名书</w:t>
            </w:r>
          </w:p>
          <w:p>
            <w:pPr>
              <w:spacing w:line="440" w:lineRule="exact"/>
              <w:jc w:val="center"/>
              <w:rPr>
                <w:rFonts w:ascii="仿宋_GB2312" w:hAnsi="仿宋" w:eastAsia="仿宋_GB2312" w:cs="仿宋"/>
                <w:bCs/>
                <w:color w:val="000000"/>
                <w:sz w:val="28"/>
                <w:szCs w:val="24"/>
              </w:rPr>
            </w:pPr>
            <w:r>
              <w:rPr>
                <w:rFonts w:hint="eastAsia" w:ascii="仿宋_GB2312" w:hAnsi="仿宋" w:eastAsia="仿宋_GB2312" w:cs="仿宋"/>
                <w:bCs/>
                <w:color w:val="000000"/>
                <w:sz w:val="28"/>
                <w:szCs w:val="24"/>
              </w:rPr>
              <w:t>相关内容</w:t>
            </w:r>
          </w:p>
        </w:tc>
        <w:tc>
          <w:tcPr>
            <w:tcW w:w="7377" w:type="dxa"/>
          </w:tcPr>
          <w:p>
            <w:pPr>
              <w:spacing w:before="156" w:beforeLines="50" w:line="360" w:lineRule="auto"/>
              <w:jc w:val="left"/>
              <w:rPr>
                <w:bCs/>
                <w:color w:val="000000"/>
                <w:sz w:val="24"/>
                <w:szCs w:val="24"/>
              </w:rPr>
            </w:pPr>
            <w:r>
              <w:rPr>
                <w:bCs/>
                <w:color w:val="000000"/>
                <w:sz w:val="24"/>
                <w:szCs w:val="24"/>
              </w:rPr>
              <w:t>1. 杨仲毅 一种利用高温破壁制备重组酶的方法，ZL201510683704.8</w:t>
            </w:r>
          </w:p>
          <w:p>
            <w:pPr>
              <w:spacing w:line="360" w:lineRule="auto"/>
              <w:jc w:val="left"/>
              <w:rPr>
                <w:bCs/>
                <w:color w:val="000000"/>
                <w:sz w:val="24"/>
                <w:szCs w:val="24"/>
              </w:rPr>
            </w:pPr>
            <w:r>
              <w:rPr>
                <w:bCs/>
                <w:color w:val="000000"/>
                <w:sz w:val="24"/>
                <w:szCs w:val="24"/>
              </w:rPr>
              <w:t>2. 杨仲毅  一种模块化组装的蛋白质结构模型，ZL201510262260.0</w:t>
            </w:r>
          </w:p>
          <w:p>
            <w:pPr>
              <w:spacing w:line="360" w:lineRule="auto"/>
              <w:jc w:val="left"/>
              <w:rPr>
                <w:bCs/>
                <w:color w:val="000000"/>
                <w:sz w:val="24"/>
                <w:szCs w:val="24"/>
              </w:rPr>
            </w:pPr>
            <w:r>
              <w:rPr>
                <w:bCs/>
                <w:color w:val="000000"/>
                <w:sz w:val="24"/>
                <w:szCs w:val="24"/>
              </w:rPr>
              <w:t>3. 杨仲毅，李鑫，蔡刚华，彭春龙，钟永军，罗希</w:t>
            </w:r>
          </w:p>
          <w:p>
            <w:pPr>
              <w:spacing w:after="156" w:afterLines="50" w:line="360" w:lineRule="auto"/>
              <w:ind w:left="239" w:leftChars="114"/>
              <w:rPr>
                <w:bCs/>
                <w:color w:val="000000"/>
                <w:sz w:val="24"/>
                <w:szCs w:val="24"/>
              </w:rPr>
            </w:pPr>
            <w:r>
              <w:rPr>
                <w:bCs/>
                <w:color w:val="000000"/>
                <w:sz w:val="24"/>
                <w:szCs w:val="24"/>
              </w:rPr>
              <w:t>Coupled fermentation-bioconversion process for production of chiral α- chlorohydrin with recombinant ketoreductase，</w:t>
            </w:r>
            <w:r>
              <w:rPr>
                <w:bCs/>
                <w:spacing w:val="-8"/>
                <w:sz w:val="24"/>
                <w:szCs w:val="24"/>
              </w:rPr>
              <w:t>Process Biochemistry，</w:t>
            </w:r>
            <w:r>
              <w:rPr>
                <w:bCs/>
                <w:sz w:val="24"/>
                <w:szCs w:val="24"/>
              </w:rPr>
              <w:t>2019,76(1)：34-39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8" w:hRule="atLeast"/>
        </w:trPr>
        <w:tc>
          <w:tcPr>
            <w:tcW w:w="1493" w:type="dxa"/>
            <w:tcBorders>
              <w:right w:val="single" w:color="auto" w:sz="4" w:space="0"/>
            </w:tcBorders>
            <w:vAlign w:val="center"/>
          </w:tcPr>
          <w:p>
            <w:pPr>
              <w:spacing w:line="440" w:lineRule="exact"/>
              <w:jc w:val="center"/>
              <w:rPr>
                <w:rFonts w:ascii="仿宋_GB2312" w:hAnsi="仿宋" w:eastAsia="仿宋_GB2312" w:cs="仿宋"/>
                <w:bCs/>
                <w:color w:val="000000"/>
                <w:sz w:val="28"/>
                <w:szCs w:val="24"/>
              </w:rPr>
            </w:pPr>
            <w:r>
              <w:rPr>
                <w:rFonts w:hint="eastAsia" w:ascii="仿宋_GB2312" w:hAnsi="仿宋" w:eastAsia="仿宋_GB2312" w:cs="仿宋"/>
                <w:bCs/>
                <w:color w:val="000000"/>
                <w:sz w:val="28"/>
                <w:szCs w:val="24"/>
              </w:rPr>
              <w:t>主要完成人</w:t>
            </w:r>
          </w:p>
        </w:tc>
        <w:tc>
          <w:tcPr>
            <w:tcW w:w="7377" w:type="dxa"/>
            <w:tcBorders>
              <w:left w:val="single" w:color="auto" w:sz="4" w:space="0"/>
            </w:tcBorders>
            <w:vAlign w:val="center"/>
          </w:tcPr>
          <w:p>
            <w:pPr>
              <w:spacing w:before="156" w:beforeLines="50" w:line="360" w:lineRule="auto"/>
              <w:rPr>
                <w:bCs/>
                <w:color w:val="000000"/>
                <w:sz w:val="24"/>
                <w:szCs w:val="24"/>
              </w:rPr>
            </w:pPr>
            <w:r>
              <w:rPr>
                <w:bCs/>
                <w:color w:val="000000"/>
                <w:sz w:val="24"/>
                <w:szCs w:val="24"/>
              </w:rPr>
              <w:t>杨仲毅，排名1，高级工程师，副教授，台州学院；</w:t>
            </w:r>
          </w:p>
          <w:p>
            <w:pPr>
              <w:spacing w:line="360" w:lineRule="auto"/>
              <w:rPr>
                <w:bCs/>
                <w:color w:val="000000"/>
                <w:sz w:val="24"/>
                <w:szCs w:val="24"/>
              </w:rPr>
            </w:pPr>
            <w:r>
              <w:rPr>
                <w:bCs/>
                <w:color w:val="000000"/>
                <w:sz w:val="24"/>
                <w:szCs w:val="24"/>
              </w:rPr>
              <w:t>蔡刚华，排名2，工程师，台州市震鑫医化有限公司；</w:t>
            </w:r>
          </w:p>
          <w:p>
            <w:pPr>
              <w:spacing w:line="360" w:lineRule="auto"/>
              <w:rPr>
                <w:bCs/>
                <w:color w:val="000000"/>
                <w:sz w:val="24"/>
                <w:szCs w:val="24"/>
              </w:rPr>
            </w:pPr>
            <w:r>
              <w:rPr>
                <w:bCs/>
                <w:color w:val="000000"/>
                <w:sz w:val="24"/>
                <w:szCs w:val="24"/>
              </w:rPr>
              <w:t>李鑫，排名3，实验师，台州学院；</w:t>
            </w:r>
          </w:p>
          <w:p>
            <w:pPr>
              <w:spacing w:line="360" w:lineRule="auto"/>
              <w:rPr>
                <w:bCs/>
                <w:color w:val="000000"/>
                <w:sz w:val="24"/>
                <w:szCs w:val="24"/>
              </w:rPr>
            </w:pPr>
            <w:r>
              <w:rPr>
                <w:bCs/>
                <w:color w:val="000000"/>
                <w:sz w:val="24"/>
                <w:szCs w:val="24"/>
              </w:rPr>
              <w:t>程荣德，排名4，工程师，浙江天宇药业股份有限公司；</w:t>
            </w:r>
          </w:p>
          <w:p>
            <w:pPr>
              <w:spacing w:line="360" w:lineRule="auto"/>
              <w:rPr>
                <w:bCs/>
                <w:color w:val="000000"/>
                <w:sz w:val="24"/>
                <w:szCs w:val="24"/>
              </w:rPr>
            </w:pPr>
            <w:r>
              <w:rPr>
                <w:bCs/>
                <w:color w:val="000000"/>
                <w:sz w:val="24"/>
                <w:szCs w:val="24"/>
              </w:rPr>
              <w:t>张凌霄，排名5，工程师，杭州臻挚生物科技有限公司；</w:t>
            </w:r>
          </w:p>
          <w:p>
            <w:pPr>
              <w:spacing w:line="360" w:lineRule="auto"/>
              <w:rPr>
                <w:bCs/>
                <w:color w:val="000000"/>
                <w:sz w:val="24"/>
                <w:szCs w:val="24"/>
              </w:rPr>
            </w:pPr>
            <w:r>
              <w:rPr>
                <w:bCs/>
                <w:color w:val="000000"/>
                <w:sz w:val="24"/>
                <w:szCs w:val="24"/>
              </w:rPr>
              <w:t>彭春龙，排名6，讲师，台州学院；</w:t>
            </w:r>
          </w:p>
          <w:p>
            <w:pPr>
              <w:spacing w:after="156" w:afterLines="50" w:line="360" w:lineRule="auto"/>
              <w:rPr>
                <w:bCs/>
                <w:color w:val="000000"/>
                <w:sz w:val="24"/>
                <w:szCs w:val="24"/>
              </w:rPr>
            </w:pPr>
            <w:r>
              <w:rPr>
                <w:bCs/>
                <w:color w:val="000000"/>
                <w:sz w:val="24"/>
                <w:szCs w:val="24"/>
              </w:rPr>
              <w:t>蔡青峰，排名7，工程师，台州达辰药业有限公司。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6" w:hRule="atLeast"/>
        </w:trPr>
        <w:tc>
          <w:tcPr>
            <w:tcW w:w="1493" w:type="dxa"/>
            <w:tcBorders>
              <w:right w:val="single" w:color="auto" w:sz="4" w:space="0"/>
            </w:tcBorders>
            <w:vAlign w:val="center"/>
          </w:tcPr>
          <w:p>
            <w:pPr>
              <w:spacing w:line="440" w:lineRule="exact"/>
              <w:jc w:val="center"/>
              <w:rPr>
                <w:rFonts w:ascii="仿宋" w:hAnsi="仿宋" w:eastAsia="仿宋" w:cs="仿宋"/>
                <w:bCs/>
                <w:color w:val="000000"/>
                <w:sz w:val="24"/>
                <w:szCs w:val="24"/>
              </w:rPr>
            </w:pPr>
            <w:r>
              <w:rPr>
                <w:rFonts w:hint="eastAsia" w:ascii="仿宋" w:hAnsi="仿宋" w:eastAsia="仿宋" w:cs="仿宋"/>
                <w:bCs/>
                <w:color w:val="000000"/>
                <w:sz w:val="28"/>
                <w:szCs w:val="24"/>
              </w:rPr>
              <w:t>主要完成单位</w:t>
            </w:r>
          </w:p>
        </w:tc>
        <w:tc>
          <w:tcPr>
            <w:tcW w:w="7377" w:type="dxa"/>
            <w:tcBorders>
              <w:left w:val="single" w:color="auto" w:sz="4" w:space="0"/>
            </w:tcBorders>
            <w:vAlign w:val="center"/>
          </w:tcPr>
          <w:p>
            <w:pPr>
              <w:spacing w:before="156" w:beforeLines="50" w:line="360" w:lineRule="auto"/>
              <w:jc w:val="left"/>
              <w:rPr>
                <w:bCs/>
                <w:color w:val="000000"/>
                <w:sz w:val="24"/>
                <w:szCs w:val="24"/>
              </w:rPr>
            </w:pPr>
            <w:r>
              <w:rPr>
                <w:bCs/>
                <w:color w:val="000000"/>
                <w:sz w:val="24"/>
                <w:szCs w:val="24"/>
              </w:rPr>
              <w:t>1.台州学院；</w:t>
            </w:r>
          </w:p>
          <w:p>
            <w:pPr>
              <w:spacing w:line="360" w:lineRule="auto"/>
              <w:jc w:val="left"/>
              <w:rPr>
                <w:bCs/>
                <w:color w:val="000000"/>
                <w:sz w:val="24"/>
                <w:szCs w:val="24"/>
              </w:rPr>
            </w:pPr>
            <w:r>
              <w:rPr>
                <w:bCs/>
                <w:color w:val="000000"/>
                <w:sz w:val="24"/>
                <w:szCs w:val="24"/>
              </w:rPr>
              <w:t>2.台州市震鑫医化有限公司；</w:t>
            </w:r>
          </w:p>
          <w:p>
            <w:pPr>
              <w:spacing w:line="360" w:lineRule="auto"/>
              <w:jc w:val="left"/>
              <w:rPr>
                <w:bCs/>
                <w:color w:val="000000"/>
                <w:sz w:val="24"/>
                <w:szCs w:val="24"/>
              </w:rPr>
            </w:pPr>
            <w:r>
              <w:rPr>
                <w:bCs/>
                <w:color w:val="000000"/>
                <w:sz w:val="24"/>
                <w:szCs w:val="24"/>
              </w:rPr>
              <w:t>3.浙江天宇药业股份有限公司；</w:t>
            </w:r>
          </w:p>
          <w:p>
            <w:pPr>
              <w:spacing w:line="360" w:lineRule="auto"/>
              <w:jc w:val="left"/>
              <w:rPr>
                <w:bCs/>
                <w:color w:val="000000"/>
                <w:sz w:val="24"/>
                <w:szCs w:val="24"/>
              </w:rPr>
            </w:pPr>
            <w:r>
              <w:rPr>
                <w:bCs/>
                <w:color w:val="000000"/>
                <w:sz w:val="24"/>
                <w:szCs w:val="24"/>
              </w:rPr>
              <w:t>4.杭州臻挚生物科技有限公司；</w:t>
            </w:r>
          </w:p>
          <w:p>
            <w:pPr>
              <w:spacing w:after="156" w:afterLines="50" w:line="360" w:lineRule="auto"/>
              <w:jc w:val="left"/>
              <w:rPr>
                <w:bCs/>
                <w:color w:val="000000"/>
                <w:sz w:val="24"/>
                <w:szCs w:val="24"/>
              </w:rPr>
            </w:pPr>
            <w:r>
              <w:rPr>
                <w:bCs/>
                <w:color w:val="000000"/>
                <w:sz w:val="24"/>
                <w:szCs w:val="24"/>
              </w:rPr>
              <w:t>5.台州达辰药业有限公司。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493"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提名单位</w:t>
            </w:r>
          </w:p>
        </w:tc>
        <w:tc>
          <w:tcPr>
            <w:tcW w:w="7377" w:type="dxa"/>
            <w:vAlign w:val="center"/>
          </w:tcPr>
          <w:p>
            <w:pPr>
              <w:spacing w:before="156" w:beforeLines="50" w:after="156" w:afterLines="50" w:line="360" w:lineRule="auto"/>
              <w:contextualSpacing/>
              <w:jc w:val="center"/>
              <w:rPr>
                <w:bCs/>
                <w:color w:val="000000"/>
                <w:sz w:val="24"/>
                <w:szCs w:val="24"/>
              </w:rPr>
            </w:pPr>
            <w:r>
              <w:rPr>
                <w:bCs/>
                <w:color w:val="000000"/>
                <w:sz w:val="24"/>
                <w:szCs w:val="24"/>
              </w:rPr>
              <w:t>台州市人民政府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19" w:hRule="atLeast"/>
        </w:trPr>
        <w:tc>
          <w:tcPr>
            <w:tcW w:w="1493"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提名意见</w:t>
            </w:r>
          </w:p>
        </w:tc>
        <w:tc>
          <w:tcPr>
            <w:tcW w:w="7377" w:type="dxa"/>
            <w:vAlign w:val="center"/>
          </w:tcPr>
          <w:p>
            <w:pPr>
              <w:spacing w:before="156" w:beforeLines="50" w:line="360" w:lineRule="auto"/>
              <w:ind w:firstLine="480" w:firstLineChars="200"/>
              <w:contextualSpacing/>
              <w:jc w:val="left"/>
              <w:rPr>
                <w:bCs/>
                <w:color w:val="000000"/>
                <w:sz w:val="24"/>
                <w:szCs w:val="24"/>
              </w:rPr>
            </w:pPr>
            <w:r>
              <w:rPr>
                <w:bCs/>
                <w:color w:val="000000"/>
                <w:sz w:val="24"/>
                <w:szCs w:val="24"/>
              </w:rPr>
              <w:t>医药化工原料药是浙江的一个特色产业，也是台州市的重点七大“千亿产业”之一。酶工程技术在医化产品中的应用是台州市制药行业转型升级的一个重要技术，本项目针对现有酶工程技术在应用中存在的酶的制备和下游医药化工产品的生产融合度不高、酶技术的优势未能得到有效发挥的问题，开发出了酶制备与生物转化偶联技术。该技术通过对大肠杆菌基因工程菌发酵工艺与参数的合理调整，使得重组酶在发酵过程中能有效的渗漏表达到发酵液上清中，可以直接用于医药化工产品的生物转化反应过程中。该技术可以避免酶的分离纯化与浓缩冻干等步骤，并且减少了酶制备过程中的废水产生和生物转化反应中对缓冲液的需求。该项目获得了授权发明专利2项。</w:t>
            </w:r>
          </w:p>
          <w:p>
            <w:pPr>
              <w:spacing w:line="360" w:lineRule="auto"/>
              <w:ind w:firstLine="480" w:firstLineChars="200"/>
              <w:contextualSpacing/>
              <w:jc w:val="left"/>
              <w:rPr>
                <w:bCs/>
                <w:color w:val="000000"/>
                <w:sz w:val="24"/>
                <w:szCs w:val="24"/>
              </w:rPr>
            </w:pPr>
            <w:r>
              <w:rPr>
                <w:bCs/>
                <w:color w:val="000000"/>
                <w:sz w:val="24"/>
                <w:szCs w:val="24"/>
              </w:rPr>
              <w:t>该项目在企业实施中分别建立了西格列汀磷酸盐的酶法生产线和阿扎那韦R-环氧物生产线，其中阿扎那韦R-环氧物生产线实现了“发酵-酶制剂-转化反应-产物分离提取-酶的回收利用”一体化全偶联。另外还有普瑞巴林等产品的酶法工艺也在进展中。利用本项目酶法技术生产的阿扎那韦环氧中间体和西格列汀磷酸盐手性值≥99.8%，纯度≥99.5%。2017-2019共新增销售收入11709.6万元，新增税收331.5万元，新增利润1859.4万元。其中阿扎那韦环氧中间体占有国内非药政市场的70%以上。该技术的使用避免了贵重金属催化剂，避免了高压反应条件，减少了废水的排放和有机溶剂的使用，具有较好的生产安全性和良好的社会经济效益。</w:t>
            </w:r>
          </w:p>
        </w:tc>
      </w:tr>
    </w:tbl>
    <w:p>
      <w:pPr>
        <w:adjustRightInd w:val="0"/>
        <w:snapToGrid w:val="0"/>
        <w:spacing w:line="560" w:lineRule="exact"/>
        <w:rPr>
          <w:rFonts w:ascii="仿宋_GB2312" w:hAnsi="宋体" w:eastAsia="仿宋_GB2312" w:cs="宋体"/>
          <w:color w:val="000000"/>
          <w:sz w:val="32"/>
          <w:szCs w:val="32"/>
        </w:rPr>
      </w:pPr>
    </w:p>
    <w:p>
      <w:pPr>
        <w:spacing w:line="360" w:lineRule="auto"/>
        <w:jc w:val="center"/>
        <w:rPr>
          <w:sz w:val="28"/>
          <w:szCs w:val="28"/>
        </w:rPr>
      </w:pP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55BF5"/>
    <w:rsid w:val="1BE55BF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hop\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2020-09-17T07:39:00Z</dcterms:created>
  <dc:creator>帅到掉渣的东哥</dc:creator>
  <cp:lastModifiedBy>帅到掉渣的东哥</cp:lastModifiedBy>
  <dcterms:modified xsi:type="dcterms:W3CDTF">2020-09-17T07:40:26Z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